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CE4C0B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E4C0B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E4C0B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CE4C0B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CE4C0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CE4C0B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CE4C0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CE4C0B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50244183</w:t>
            </w:r>
          </w:p>
        </w:tc>
      </w:tr>
      <w:tr w:rsidR="00CE4C0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</w:t>
            </w:r>
          </w:p>
        </w:tc>
      </w:tr>
      <w:tr w:rsidR="00CE4C0B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города Кисловодск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CE4C0B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07715000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CE4C0B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CE4C0B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CE4C0B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CE4C0B" w:rsidRDefault="00CE4C0B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CE4C0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E4C0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1.Полное наименование субъекта отчетности: Финансовое управление администрации города-курорта Кисловодска.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Сокращенное наименование: Финансовое управление.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2.Юридический адрес: 357700, Российская Федерация, Ставропольский край, город-курорт Кисловодск, пр</w:t>
                  </w:r>
                  <w:r>
                    <w:rPr>
                      <w:color w:val="000000"/>
                      <w:sz w:val="28"/>
                      <w:szCs w:val="28"/>
                    </w:rPr>
                    <w:t>оспект Победы, 25.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Фактический адрес: 357700, Российская Федерация, Ставропольский край, город-курорт Кисловодск, проспект Победы, 25.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ИНН 2628036588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КПП 262801001</w:t>
                  </w:r>
                </w:p>
                <w:p w:rsidR="00CE4C0B" w:rsidRDefault="00306013">
                  <w:pPr>
                    <w:ind w:right="-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ОКПО 50244183                                        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ОКТМО 07715000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Организационно-правова</w:t>
                  </w:r>
                  <w:r>
                    <w:rPr>
                      <w:color w:val="000000"/>
                      <w:sz w:val="28"/>
                      <w:szCs w:val="28"/>
                    </w:rPr>
                    <w:t>я форма - орган государственной власти Ставропольского края.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Код главы 604.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города-курорта Кисловодска (далее – Финансовое управление) является юридическим лицом, выполняет полномочия получателя бюджетных средств, главно</w:t>
                  </w:r>
                  <w:r>
                    <w:rPr>
                      <w:color w:val="000000"/>
                      <w:sz w:val="28"/>
                      <w:szCs w:val="28"/>
                    </w:rPr>
                    <w:t>го распорядителя бюджетных средств, главного администратора доходов местного бюджета, учредителя 1 казенного подведомственного учреждения, действующего на конец отчетного периода.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3.В течение отчетного 2023 года наименование не изменялось.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4.Финансовое упр</w:t>
                  </w:r>
                  <w:r>
                    <w:rPr>
                      <w:color w:val="000000"/>
                      <w:sz w:val="28"/>
                      <w:szCs w:val="28"/>
                    </w:rPr>
                    <w:t>авление действует на основании положения о финансовом управлении администрации города-курорта Кисловодска, утвержденного решением Думы города-курорта Кисловодска № 25-416 от 25.03.16г.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5.Органом, осуществляющим внешний государственный финансовый контроль,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является Контрольно-счетная палата городского округа города-курорта Кисловодска.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6.Временных ограничений деятельности у Финансового управления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7.Основными задачами Финансового управления являются: </w:t>
                  </w:r>
                </w:p>
                <w:p w:rsidR="00CE4C0B" w:rsidRDefault="0030601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-реализация общих направлений единой бюджетной и нал</w:t>
                  </w:r>
                  <w:r>
                    <w:rPr>
                      <w:color w:val="000000"/>
                      <w:sz w:val="28"/>
                      <w:szCs w:val="28"/>
                    </w:rPr>
                    <w:t>оговой политики на территории города-курорта Кисловодска; </w:t>
                  </w:r>
                </w:p>
                <w:p w:rsidR="00CE4C0B" w:rsidRDefault="0030601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-развитие и совершенствование бюджетного процесса и межбюджетных отношений на территории города, совершенствование методов бюджетного планирования, порядка финансирования и составления отчетности 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соответствии с указаниями Министерства финансов Российской Федерации и Министерства финансов Ставропольского края;</w:t>
                  </w:r>
                </w:p>
                <w:p w:rsidR="00CE4C0B" w:rsidRDefault="0030601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-разработка проекта бюджета города-курорта Кисловодска по доходам, расходам и источникам финансирования дефицита бюджета в соответствии с бю</w:t>
                  </w:r>
                  <w:r>
                    <w:rPr>
                      <w:color w:val="000000"/>
                      <w:sz w:val="28"/>
                      <w:szCs w:val="28"/>
                    </w:rPr>
                    <w:t>джетной классификацией Российской Федерации и обеспечение в установленном порядке его исполнения;</w:t>
                  </w:r>
                </w:p>
                <w:p w:rsidR="00CE4C0B" w:rsidRDefault="00306013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эффективного и рационального использования бюджетных средств; составление отчетов об исполнении бюджета города-курорта Кисловодска; осуществлени</w:t>
                  </w:r>
                  <w:r>
                    <w:rPr>
                      <w:color w:val="000000"/>
                      <w:sz w:val="28"/>
                      <w:szCs w:val="28"/>
                    </w:rPr>
                    <w:t>е на территории города-курорта предварительного, текущего и последующего контроля за целевым, эффективным и экономным использованием средств городского бюджета; обеспечение методического руководства, в пределах своей компетенции, бухгалтерским учетом и отч</w:t>
                  </w:r>
                  <w:r>
                    <w:rPr>
                      <w:color w:val="000000"/>
                      <w:sz w:val="28"/>
                      <w:szCs w:val="28"/>
                    </w:rPr>
                    <w:t>етностью.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8.Показатели бюджетной отчетности сформированы с учетом требований  положений федеральных стандартов :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256н «Концептуальные основы бухгалтерского учета  и отчетности для организаций государственного сектора»,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260н «Представление бухгалтерской (финансовой) отчетности»,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257н «Основные средства», 258н «Аренда», 259н «Обесценение активов»,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274н «Учетная политика, оценочные значения и ошибки»,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275н «События после отчетной даты»,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278н «Отчет о движении денежных сре</w:t>
                  </w:r>
                  <w:r>
                    <w:rPr>
                      <w:color w:val="000000"/>
                      <w:sz w:val="28"/>
                      <w:szCs w:val="28"/>
                    </w:rPr>
                    <w:t>дств», 32н «Доходы»,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124н «Резервы. Раскрытие информации об условных обязательствах и условных активах»,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256н «Запасы»,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37н «Бюджетная информация в бухгалтерской (финансовой) отчетности»,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145н «Долгосрочные договоры»,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146н «Концессионные соглашения»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129</w:t>
                  </w:r>
                  <w:r>
                    <w:rPr>
                      <w:color w:val="000000"/>
                      <w:sz w:val="28"/>
                      <w:szCs w:val="28"/>
                    </w:rPr>
                    <w:t>н «Финансовые инструменты»,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34н «Непроизведенные активы»,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181н «Нематериальные активы»,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277н «Информация о связанных сторонах»,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183н «Совместная деятельность»,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182н «Затраты по заимствованиям»,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184н «Выплаты персоналу»,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223н «Сведения о показателях бухгал</w:t>
                  </w:r>
                  <w:r>
                    <w:rPr>
                      <w:color w:val="000000"/>
                      <w:sz w:val="28"/>
                      <w:szCs w:val="28"/>
                    </w:rPr>
                    <w:t>терской (финансовой отчетности по сегментам»,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254н «Метод долевого участия»,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</w:t>
                  </w:r>
                  <w:r>
                    <w:rPr>
                      <w:color w:val="000000"/>
                      <w:sz w:val="28"/>
                      <w:szCs w:val="28"/>
                    </w:rPr>
                    <w:t>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06.12.2010 № 162н «Об утверждении Плана с</w:t>
                  </w:r>
                  <w:r>
                    <w:rPr>
                      <w:color w:val="000000"/>
                      <w:sz w:val="28"/>
                      <w:szCs w:val="28"/>
                    </w:rPr>
                    <w:t>четов бюджетного учета и Инструкции по его применению»,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</w:t>
                  </w:r>
                  <w:r>
                    <w:rPr>
                      <w:color w:val="000000"/>
                      <w:sz w:val="28"/>
                      <w:szCs w:val="28"/>
                    </w:rPr>
                    <w:t>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 Минфина России от 15.04.2021 N 61н "Об утверждении унифицированн</w:t>
                  </w:r>
                  <w:r>
                    <w:rPr>
                      <w:color w:val="000000"/>
                      <w:sz w:val="28"/>
                      <w:szCs w:val="28"/>
                    </w:rPr>
                    <w:t>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Приказа Минфина России от 28.12.2010 №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191н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 других действующих правовых актов, регулирующих ведение бюджетного учета и фо</w:t>
                  </w:r>
                  <w:r>
                    <w:rPr>
                      <w:color w:val="000000"/>
                      <w:sz w:val="28"/>
                      <w:szCs w:val="28"/>
                    </w:rPr>
                    <w:t>рмирование отчетности.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9.Финансовое управление является учредителем одного казенного учреждения без изменения в отчетном периоде его количественного состава: муниципальное межведомственное казенное учреждение «Централизованная бухгалтерия».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10.В отчетном п</w:t>
                  </w:r>
                  <w:r>
                    <w:rPr>
                      <w:color w:val="000000"/>
                      <w:sz w:val="28"/>
                      <w:szCs w:val="28"/>
                    </w:rPr>
                    <w:t>ериоде состав бюджетных полномочий получателей, распорядителей бюджетных средств, находящихся в ведении Финансового управления   не изменялся.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11.В Управлении федерального казначейства по Ставропольскому краю открыты   лицевые счета: 01213013730 – главного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распорядителя бюджетных средств, 03213013730 – получателя бюджетных средств, 04213013730 – администратора дохода бюджета, 05213013730 – для учета операций со средствами, поступающими во временное распоряжение получателя бюджетных средств, 08213013730 – ад</w:t>
                  </w:r>
                  <w:r>
                    <w:rPr>
                      <w:color w:val="000000"/>
                      <w:sz w:val="28"/>
                      <w:szCs w:val="28"/>
                    </w:rPr>
                    <w:t>министратора источников финансирования дефицита бюджета.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12.Полномочия по ведению бюджетного учета переданы Муниципальному межведомственному казенному учреждению «Централизованная бухгалтерия» города-курорта Кисловодска на основании соглашения № 49 от 29.1</w:t>
                  </w:r>
                  <w:r>
                    <w:rPr>
                      <w:color w:val="000000"/>
                      <w:sz w:val="28"/>
                      <w:szCs w:val="28"/>
                    </w:rPr>
                    <w:t>0.2021г.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13. Бюджетная отчетность Финансового управления администрации города-курорта Кисловодска составил заместитель главного бухгалтера ММКУ «Централизованная бухгалтерия» Чиркова Анастасия Эдуардовна. Бюджетная отчетность подведомственного учреждения  </w:t>
                  </w:r>
                  <w:r>
                    <w:rPr>
                      <w:color w:val="000000"/>
                      <w:sz w:val="28"/>
                      <w:szCs w:val="28"/>
                    </w:rPr>
                    <w:t>ММКУ «Централизованная бухгалтерия» составлена заместителем директора  Верхолаб Татьяной Николаевной.</w:t>
                  </w:r>
                </w:p>
              </w:tc>
            </w:tr>
          </w:tbl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E4C0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E4C0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14. Балансовая стоимость основных средств на конец отчетного периода составляет 15 405 595 рублей 47 копеек,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-иное движимое имущество - 15 405 595 рублей 47 копеек, из них: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машины и оборудование (компьютеры, серверы, ксероксы, принтеры и др</w:t>
                  </w:r>
                  <w:r>
                    <w:rPr>
                      <w:color w:val="000000"/>
                      <w:sz w:val="28"/>
                      <w:szCs w:val="28"/>
                    </w:rPr>
                    <w:t>.) – 13 931 509 рубль 59 копеек;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 мебель и хозяйственный инвентарь – 1 474 085 рублей 88 копеек;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Основными средствами субъекты учета обеспечены на 100 %.  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Амортизация   основных средств на конец отчетного периода составила 13 351 354 рубля 03 копейки, что составляет 86,67 %.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средства находятся в исправном техническом состоянии.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целях поддержания технического состояния основных средств в течении о</w:t>
                  </w:r>
                  <w:r>
                    <w:rPr>
                      <w:color w:val="000000"/>
                      <w:sz w:val="28"/>
                      <w:szCs w:val="28"/>
                    </w:rPr>
                    <w:t>тчетного года осуществлялись мероприятия по их техническому обслуживанию.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средства, находящиеся на балансе субъектов отчетности используются в его деятельности в полном объеме.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Сохранность имущества обеспечена, недостач, хищений и порчи в 2023 го</w:t>
                  </w:r>
                  <w:r>
                    <w:rPr>
                      <w:color w:val="000000"/>
                      <w:sz w:val="28"/>
                      <w:szCs w:val="28"/>
                    </w:rPr>
                    <w:t>ду не выявлено.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Рабочие места сотрудников Финансового управления администрации города-курорта Кисловодска и подведомственного учреждения укомплектованы в полном объеме.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15. В хозяйственной деятельности Финансового управления отсутствуют временно неэксплуа</w:t>
                  </w:r>
                  <w:r>
                    <w:rPr>
                      <w:color w:val="000000"/>
                      <w:sz w:val="28"/>
                      <w:szCs w:val="28"/>
                    </w:rPr>
                    <w:t>тируемые объекты основных средств. В составе основных средств ММКУ «Централизованная бухгалтерия» отражены в учете временно неэксплуатируемые объекты основных средств балансовой стоимостью 786 755 рублей 85 копеек, на счете 1.106.31 - 12 автоматизированных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рабочих мест для вновь принимаемых в 2023 году сотрудников в Централизованную бухгалтерию.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16. В составе основных средств, находящихся в эксплуатации, имеются объекты, имеющие нулевую остаточную стоимость  балансовой стоимостью 12 567 141 рубль 74 копейки.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17. В учетных данных   Финансового управления числятся на забалансовом счете 02 «Материаль</w:t>
                  </w:r>
                  <w:r>
                    <w:rPr>
                      <w:color w:val="000000"/>
                      <w:sz w:val="28"/>
                      <w:szCs w:val="28"/>
                    </w:rPr>
                    <w:t>ные ценности на хранении» основные средства, выведенные из эксплуатации в количестве 135 единиц, балансовой стоимостью 776 256 рублей 31 копейка.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18. В единой учетной политике «Централизованная бухгалтерия» приняты следующие методы оценки запасов:</w:t>
                  </w:r>
                </w:p>
                <w:p w:rsidR="00CE4C0B" w:rsidRDefault="00306013">
                  <w:pPr>
                    <w:ind w:right="-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– метод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рыночных цен – справедливая стоимость актива (обязательства)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определяется на основании текущих рыночных цен или данных о недавних сделках с аналогичными или схожими активами (обязательствами), совершенных без отсрочки платежа. Учетная политика  подведомств</w:t>
                  </w:r>
                  <w:r>
                    <w:rPr>
                      <w:color w:val="000000"/>
                      <w:sz w:val="28"/>
                      <w:szCs w:val="28"/>
                    </w:rPr>
                    <w:t>енного казенного учреждения сформирована с учетом рекомендаций ГРБС.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19. На отчетную дату на балансе Финансового управления  общая балансовая стоимость материальных запасов составила 194 858 рублей 27 копеек, в том числе учитываемых по первоначальной стоим</w:t>
                  </w:r>
                  <w:r>
                    <w:rPr>
                      <w:color w:val="000000"/>
                      <w:sz w:val="28"/>
                      <w:szCs w:val="28"/>
                    </w:rPr>
                    <w:t>ости 194 858 рублей 27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20. В качестве расходов в отчетном периоде запасы признаны в сумме 472 260 рублей 50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21.В отчетном периоде запасы не были в залоге в качестве обеспечения исполнения обязательств.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22.На конец отчетного периода перед ра</w:t>
                  </w:r>
                  <w:r>
                    <w:rPr>
                      <w:color w:val="000000"/>
                      <w:sz w:val="28"/>
                      <w:szCs w:val="28"/>
                    </w:rPr>
                    <w:t>ботниками Финансового управления и подведомственного учреждения задолженности по выплате денежного содержания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23.На забалансовых счетах Финансового управления отсутствуют объекты учета «земельные участки», не приносящие экономические выгоды, не имеющи</w:t>
                  </w:r>
                  <w:r>
                    <w:rPr>
                      <w:color w:val="000000"/>
                      <w:sz w:val="28"/>
                      <w:szCs w:val="28"/>
                    </w:rPr>
                    <w:t>е полезного потенциала, в отношении которых в дальнейшем не предусматривается получение экономических выгод.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24.В течение отчетного периода Финансовому управлению поступили финансовые активы: «Денежные средства» на лицевые счета в сумме 1 006 635 880 рубле</w:t>
                  </w:r>
                  <w:r>
                    <w:rPr>
                      <w:color w:val="000000"/>
                      <w:sz w:val="28"/>
                      <w:szCs w:val="28"/>
                    </w:rPr>
                    <w:t>й 29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В течение отчетного периода Финансовому управлению поступили финансовые обязательства  на сумму 173 391 452 рубля 10 копеек,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группе «Финансовая кредиторская задолженность» на сумму 11 909 802 рубля 57 копеек, в том числе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кредиторская задолженность по арендной плате за пользование имуществом в объеме 7 063 800 рублей 00 копеек;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-кредиторская задолженность по работам, услугам в объеме 798 500 рублей 00 копеек (счет 030225000 «Расчеты по работам, услугам по содержанию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имущества»);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-иная кредиторская задолженность, удовлетворяющая определению финансовых обязательств, при условии, что она не относится к группе "Долговые обязательства" в объеме  4 047 502 рубля 57 копеек (счет 030226000 "Расчеты по прочим работам, услуга</w:t>
                  </w:r>
                  <w:r>
                    <w:rPr>
                      <w:color w:val="000000"/>
                      <w:sz w:val="28"/>
                      <w:szCs w:val="28"/>
                    </w:rPr>
                    <w:t>м).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группе «Долговые обязательства» на 162 081 649 рублей 53 копеек, в том числе: обязательств по государственному долгу в объеме 162 081 649 рублей 53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25. В течение отчетного периода у Финансового управления выбыли  с учета  финансовые активы: </w:t>
                  </w:r>
                  <w:r>
                    <w:rPr>
                      <w:color w:val="000000"/>
                      <w:sz w:val="28"/>
                      <w:szCs w:val="28"/>
                    </w:rPr>
                    <w:t>«Денежные средства» с лицевых счетов в объеме 79 015 759 рублей 49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В течение отчетного периода  у Финансового управления выбыли с учета финансовые обязательства  на сумму 204 091 895 рублей 65 копеек, в том числе 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группе «Финансовая кре</w:t>
                  </w:r>
                  <w:r>
                    <w:rPr>
                      <w:color w:val="000000"/>
                      <w:sz w:val="28"/>
                      <w:szCs w:val="28"/>
                    </w:rPr>
                    <w:t>диторская задолженность» на сумму 11 895 037 рублей 57 копеек,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-кредиторская задолженность по арендной плате за пользование имуществом в объеме 7 063 800 рублей 00 копеек;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-кредиторская задолженность по работам, услугам в объеме 798 500 рубле</w:t>
                  </w:r>
                  <w:r>
                    <w:rPr>
                      <w:color w:val="000000"/>
                      <w:sz w:val="28"/>
                      <w:szCs w:val="28"/>
                    </w:rPr>
                    <w:t>й 00 копеек (счет 030225000 "Расчеты по работам, услугам по содержанию имущества");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иная кредиторская задолженность, удовлетворяющая определению финансовых обязательств, при условии, что она не относится к группе "Долговые обязательства" в объеме 4 032 737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57 копеек (счет 030226000 "Расчеты по прочим работам, услугам).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группе «Долговые обязательства» на сумму 192 196 858 рублей 08 копеек,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обязательств по государственному долгу в объеме 192 196 858 рублей 08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26. Реклассификаци</w:t>
                  </w:r>
                  <w:r>
                    <w:rPr>
                      <w:color w:val="000000"/>
                      <w:sz w:val="28"/>
                      <w:szCs w:val="28"/>
                    </w:rPr>
                    <w:t>и финансовых активов в 2023 году не проводилось.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27. В 2023 году стоимость финансовых активов и финансовых обязательств не изменялась.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28. Финансовые активы не передавались в качестве залогового обеспечения исполнения обязательств.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29. Залоговых обеспечений в виде финансовых активов  в 2023 году Финансовое управление и ММКУ «Централизованная бухгалтерия» не получало.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30. Обесценения финансовых активов в 2023 году не  осуществлялось.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31. Информации по пункту 47  Приказа МФ РФ   № 129н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«Финансовые инструменты» у Финансового управления и ММКУ «Централизованная бухгалтерия»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32. Информации по пункту 48  Приказа МФ РФ   № 129н «Финансовые инструменты» у Финансового управления и ММКУ «Централизованная бухгалтерия»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33. Информации по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пункту 50  Приказа МФ РФ   № 129н «Финансовые инструменты» у Финансового управления и ММКУ «Централизованная бухгалтерия»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34. У Финансового управления и ММКУ «Централизованная бухгалтерия» отсутствуют  договора   простого товарищества.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35. В соответс</w:t>
                  </w:r>
                  <w:r>
                    <w:rPr>
                      <w:color w:val="000000"/>
                      <w:sz w:val="28"/>
                      <w:szCs w:val="28"/>
                    </w:rPr>
                    <w:t>твии с требованиями федерального стандарта бухгалтерского учета государственных финансов «Нематериальные активы» в бухгалтерском учете Финансового управления нематериальные активы учтены как нематериальный актив с неопределенным сроком полезного использова</w:t>
                  </w:r>
                  <w:r>
                    <w:rPr>
                      <w:color w:val="000000"/>
                      <w:sz w:val="28"/>
                      <w:szCs w:val="28"/>
                    </w:rPr>
                    <w:t>ния,  остаточная стоимость которых на начало отчетного периода составляла 336 037 рублей 00 копеек, на конец отчетного периода 347 037 рублей 00 копеек, в том числе у ММКУ «Централизованная бухгалтерия»  в сумме  11 100 рублей 00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Отчуждения не в п</w:t>
                  </w:r>
                  <w:r>
                    <w:rPr>
                      <w:color w:val="000000"/>
                      <w:sz w:val="28"/>
                      <w:szCs w:val="28"/>
                    </w:rPr>
                    <w:t>ользу организаций бюджетной сферы нематериальных активов с неопределенным сроком полезного использования  не было.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37. По нематериальным активам отсутствуют ограничения прав собственности или иных предоставленных прав, а также отсутствуют объекты нематериа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льных активов, которые Финансовое управление и ММКУ «Централизованная бухгалтерия» не вправе использовать в качестве обеспечения исполнения своих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обязательств, а объекты  нематериальных активов, переданные в качестве обеспечения исполнения обязательств.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38</w:t>
                  </w:r>
                  <w:r>
                    <w:rPr>
                      <w:color w:val="000000"/>
                      <w:sz w:val="28"/>
                      <w:szCs w:val="28"/>
                    </w:rPr>
                    <w:t>. На конец отчетного периода договорных обязательств по приобретению   нематериальных активов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39. Изменений сроков полезного использования и методов начисления амортизации нематериальных активов в отчетном периоде не было.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40. В эксплуатации Финансового управления и у  ММКУ «Централизованная бухгалтерия» не находятся нематериальные активы, которые на конец отчетного периода имеют нулевую остаточную стоимость.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41. В 2023 году расходы на научные исследования и опытно-конструк</w:t>
                  </w:r>
                  <w:r>
                    <w:rPr>
                      <w:color w:val="000000"/>
                      <w:sz w:val="28"/>
                      <w:szCs w:val="28"/>
                    </w:rPr>
                    <w:t>торские и технологические разработки, признанные в качестве расхода не осуществлялись.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42. В процессе деятельности Финансового управления и  ММКУ «Централизованная бухгалтерия» концессионные соглашения не заключались.</w:t>
                  </w:r>
                </w:p>
              </w:tc>
            </w:tr>
          </w:tbl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E4C0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E4C0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43. Учетной политикой Финансового управления не установлены подходы для определения структуры денежных средств и эквивалентов денежных средств, классификации денежных потоков, </w:t>
                  </w:r>
                  <w:r>
                    <w:rPr>
                      <w:color w:val="000000"/>
                      <w:sz w:val="28"/>
                      <w:szCs w:val="28"/>
                    </w:rPr>
                    <w:t>не указанных в Стандарте "Отчет о движении денежных средств", а также подходы для осуществления пересчета в рубли величины денежных потоков в иностранной валюте.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44. В состав денежных средств и их эквивалентов входят: денежные средства учреждения на лицевы</w:t>
                  </w:r>
                  <w:r>
                    <w:rPr>
                      <w:color w:val="000000"/>
                      <w:sz w:val="28"/>
                      <w:szCs w:val="28"/>
                    </w:rPr>
                    <w:t>х счетах.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45. При сверке показателей Отчета о движении денежных средств с показателями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</w:t>
                  </w:r>
                  <w:r>
                    <w:rPr>
                      <w:color w:val="000000"/>
                      <w:sz w:val="28"/>
                      <w:szCs w:val="28"/>
                    </w:rPr>
                    <w:t>ита бюджета, главного администратора, администратора доходов бюджета ф. 0503127, Баланса  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</w:t>
                  </w:r>
                  <w:r>
                    <w:rPr>
                      <w:color w:val="000000"/>
                      <w:sz w:val="28"/>
                      <w:szCs w:val="28"/>
                    </w:rPr>
                    <w:t>нистратора, администратора доходов бюджета ф.0503130 , Отчета  о финансовых результатах деятельности ф.0503121 отклонений не выявлено.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46. В «Отчете о движении денежных средств» ф.0503123 расхождений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47. Приобретений и продаж долей участия в капитале </w:t>
                  </w:r>
                  <w:r>
                    <w:rPr>
                      <w:color w:val="000000"/>
                      <w:sz w:val="28"/>
                      <w:szCs w:val="28"/>
                    </w:rPr>
                    <w:t>(имуществе) которых составляет более 50 процентов голосующих акций (долей, паев, вкладов) не осуществлялось.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48. В форме 0503127 «Отчет об исполнении бюджета главного распорядителя, распорядителя, получателя бюджетных средств, главного администратора, адми</w:t>
                  </w:r>
                  <w:r>
                    <w:rPr>
                      <w:color w:val="000000"/>
                      <w:sz w:val="28"/>
                      <w:szCs w:val="28"/>
                    </w:rPr>
                    <w:t>нистратора источников финансирования дефицита бюджета, главного администратора, администратора доходов бюджета» на отчетную дату отклонения суммы неисполненных назначений, отраженных в графе 9 по соответствующим строкам раздела "Доходы", формирующих итогов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ый показатель по доходам, от разницы показателей граф 4 и 8 по строке 010 "Доходы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бюджета – всего" составил 10 рублей 86 копеек в связи с отражением кассовых поступлений отличных от плановых назначений  внешним администратором доходов по коду доходов 1 16 </w:t>
                  </w:r>
                  <w:r>
                    <w:rPr>
                      <w:color w:val="000000"/>
                      <w:sz w:val="28"/>
                      <w:szCs w:val="28"/>
                    </w:rPr>
                    <w:t>01203 01 0021 140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</w:t>
                  </w:r>
                  <w:r>
                    <w:rPr>
                      <w:color w:val="000000"/>
                      <w:sz w:val="28"/>
                      <w:szCs w:val="28"/>
                    </w:rPr>
                    <w:t>дьями, комиссиями по делам несовершеннолетних и защите их прав».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49.  В Сведениях об исполнении бюджета (ф. 0503164)  в графе 8 Раздела 2 «Расходы бюджета»  по коду причины  отклонения от планового процента исполнения 99 «Иные причины» отражена сумма (-5 1</w:t>
                  </w:r>
                  <w:r>
                    <w:rPr>
                      <w:color w:val="000000"/>
                      <w:sz w:val="28"/>
                      <w:szCs w:val="28"/>
                    </w:rPr>
                    <w:t>09 335) рублей 24 копейки. Неисполнение плановых показателей  по коду 99 «Иные причины» сложилось по следующим причинам: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(604 0106 7410010010) сумма (-139 588) рублей 59 копеек – остаток расходов на обеспечение функций органов местного самоуправления.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(604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0113 7410010050) сумма (-169 078) рублей 61 копейка – остаток денежных средств при выходе на пенсию муниципальных служащих (средства выделяются по мере необходимости).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(604 0113 7410020920) сумма (-2 299 235) рублей 02 копейки – остаток иных зарезервирова</w:t>
                  </w:r>
                  <w:r>
                    <w:rPr>
                      <w:color w:val="000000"/>
                      <w:sz w:val="28"/>
                      <w:szCs w:val="28"/>
                    </w:rPr>
                    <w:t>нных средств.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(604 1301 7410020470) сумма (-2 461 363) рубля 22 копейки – экономия денежных средств за счет привлечения бюджетных кредитов.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50. Целевые иностранные кредиты не привлекались в деятельности Финансового управления.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52. Финансовое управление и М</w:t>
                  </w:r>
                  <w:r>
                    <w:rPr>
                      <w:color w:val="000000"/>
                      <w:sz w:val="28"/>
                      <w:szCs w:val="28"/>
                    </w:rPr>
                    <w:t>МКУ «Централизованная бухгалтерия» не принимало участие в 2023 году в реализации национальных проектов, в связи с чем информация по требованиям абзаца 12 пункта 152 Приказа МФ РФ № 191н отсутствует.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53. В отчетном периоде бюджетных обязательств (денежных о</w:t>
                  </w:r>
                  <w:r>
                    <w:rPr>
                      <w:color w:val="000000"/>
                      <w:sz w:val="28"/>
                      <w:szCs w:val="28"/>
                    </w:rPr>
                    <w:t>бязательств) сверх утвержденного Финансовому управлению на финансовый год объема бюджетных </w:t>
                  </w:r>
                </w:p>
              </w:tc>
            </w:tr>
          </w:tbl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E4C0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E4C0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55. В 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0503130)отсутствуют средства </w:t>
                  </w:r>
                  <w:r>
                    <w:rPr>
                      <w:color w:val="000000"/>
                      <w:sz w:val="28"/>
                      <w:szCs w:val="28"/>
                    </w:rPr>
                    <w:t>в пути</w:t>
                  </w:r>
                  <w:r>
                    <w:rPr>
                      <w:color w:val="8496B0"/>
                      <w:sz w:val="28"/>
                      <w:szCs w:val="28"/>
                    </w:rPr>
                    <w:t>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56. На счетах 1 201 00 000 «Денежные средства учреждения», 3 201 20 000 «Денежные средства учреждения в кредитной организации»в Балансе главного распорядителя, распорядителя, получателя бюджетных средств, главного администратора, администратора ист</w:t>
                  </w:r>
                  <w:r>
                    <w:rPr>
                      <w:color w:val="000000"/>
                      <w:sz w:val="28"/>
                      <w:szCs w:val="28"/>
                    </w:rPr>
                    <w:t>очников финансирования дефицита бюджета, главного администратора, администратора доходов бюджета (ф. 0503130)отсутствуют показатели по наличию денежных средств.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57. В графе 7 формы отчетности № 0503168 «Сведения о движении нефинансовых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активов» не содержит</w:t>
                  </w:r>
                  <w:r>
                    <w:rPr>
                      <w:color w:val="000000"/>
                      <w:sz w:val="28"/>
                      <w:szCs w:val="28"/>
                    </w:rPr>
                    <w:t>ся показателей со знаком «минус».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58. В деятельности Финансового управления  и ММКУ «Централизованная бухгалтерия»  отсутствуют объекты финансовой (не операционной) аренды, в связи, с чем требования Стандарта «Аренда» по сверке на отчетную дату общей суммы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арендных платежей с общей суммой их дисконтированных стоимостей не применялись.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59. В связи с отсутствием объектов аренды, заключенные с процентной ставкой, заложенной в арендных платежах подпункта «б» пункта 32 приказа МФ РФ № 258н «Аренда» в деятельност</w:t>
                  </w:r>
                  <w:r>
                    <w:rPr>
                      <w:color w:val="000000"/>
                      <w:sz w:val="28"/>
                      <w:szCs w:val="28"/>
                    </w:rPr>
                    <w:t>и Финансового управления и ММКУ «Централизованная бухгалтерия» не применяются.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60. В связи с отсутствием объектов финансовой (неоперационной)  аренды у Финансового управления  и ММКУ «Централизованная бухгалтерия»  информации  в соответствии с требованиями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подпункта «в» пункта 32 приказа МФ РФ № 258н «Аренда»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П.61. Информация по требованиям подпункта «г» пункта 32 приказа МФ РФ № 258Н «Аренда» не представлена в связи с отсутствием объектов аренды у Финансового управления и ММКУ «Централизованная бухгалтерия», имущество в аренду не сдавалось.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П.62.  ММКУ «Центр</w:t>
                  </w:r>
                  <w:r>
                    <w:rPr>
                      <w:color w:val="000000"/>
                      <w:sz w:val="28"/>
                      <w:szCs w:val="28"/>
                    </w:rPr>
                    <w:t>ализованная бухгалтерия» заключен договор аренды пользования имуществом сроком на 3 года, начиная с 2021 года по 2023 год. С 01.01.2021 по 30.04.2021, договор аренды был заключен на текущий 2021 год в сумме 4 718 496 рублей 00 копеек, площадь арендуемых по</w:t>
                  </w:r>
                  <w:r>
                    <w:rPr>
                      <w:color w:val="000000"/>
                      <w:sz w:val="28"/>
                      <w:szCs w:val="28"/>
                    </w:rPr>
                    <w:t>мещений составляла 710,7 кв. м., 30.04.2021 года договор расторгнут, сумма исполнения договора составила 1 598 616 рублей 12 копеек. Договор закрыт. С 01.05.2021 года заключен договор аренды пользования имуществом сроком с 01.05.2021 по 31.12.2023 года, су</w:t>
                  </w:r>
                  <w:r>
                    <w:rPr>
                      <w:color w:val="000000"/>
                      <w:sz w:val="28"/>
                      <w:szCs w:val="28"/>
                    </w:rPr>
                    <w:t>мма контракта 17 236 800 рублей 00 копеек, исполнение контракта в 2021 году составило -4 309 600 рублей 00 копеек, в 2022 году 6 463 800 рублей 00 копеек, в 2023 году 6 463 800 рублей 00 копеек.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63. По состоянию на 01.01.2024 величина дебиторской задолженн</w:t>
                  </w:r>
                  <w:r>
                    <w:rPr>
                      <w:color w:val="000000"/>
                      <w:sz w:val="28"/>
                      <w:szCs w:val="28"/>
                    </w:rPr>
                    <w:t>ости, отраженной в Сведениях по дебиторской и кредиторской задолженности (ф. 0503169) составила 1 221 597 707 рублей 42 копеек. По сравнению с аналогичным показателем прошлого года дебиторская задолженность увеличилась на 403 559 511 рублей 82 копейки, что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составляет 49,33 % от показателя прошлого отчетного периода. Увеличение обусловлено увеличением предоставления межбюджетных трансфертов (дотации на выравнивание бюджетной обеспеченности в связи с увеличением бюджетной сети).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вел</w:t>
                  </w:r>
                  <w:r>
                    <w:rPr>
                      <w:color w:val="000000"/>
                      <w:sz w:val="28"/>
                      <w:szCs w:val="28"/>
                    </w:rPr>
                    <w:t>ичина кредиторской задолженности, отраженной в Сведениях по дебиторской и кредиторской задолженности (ф. 0503169) составила 210 622 523 рубля 06 копеек. По сравнению с аналогичным показателем прошлого года кредиторская задолженность уменьшилась на 24 283 5</w:t>
                  </w:r>
                  <w:r>
                    <w:rPr>
                      <w:color w:val="000000"/>
                      <w:sz w:val="28"/>
                      <w:szCs w:val="28"/>
                    </w:rPr>
                    <w:t>24 рубля 14 копеек, что составляет 10,34 % от показателя прошлого отчетного периода.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составе дебиторской задолженности на 01.01.2024 просроченной дебиторской задолженности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составе кредиторской задолженности на 01.01.2024 просроченной кредиторской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задолженности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64. В Сведениях по дебиторской и кредиторской задолженности ф.0503169 в графах 5-8 раздела 1 показателей со знаком «минус»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65.Финансовое управление администрации города-курорта Кисловодскане имеет доли участия в капитале каких-либо </w:t>
                  </w:r>
                  <w:r>
                    <w:rPr>
                      <w:color w:val="000000"/>
                      <w:sz w:val="28"/>
                      <w:szCs w:val="28"/>
                    </w:rPr>
                    <w:t>организаций.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66. Вграфе 2 Сведений о финансовых вложениях получателя бюджетных средств, администратора источников финансирования дефицита бюджета (ф. 0503171) отсутствуют ненулевые показатели по незавершенным вложениям.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67. В Сведениях о финансовых вложени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ях получателя бюджетных средств, администратора источников финансирования дефицита бюджета (ф. 0503171) на счетах 1 215 31 000 "Вложения в акции"; 1 215 32 000, "Вложения в государственные (муниципальные) предприятия" отсутствуют показатели, по которым не </w:t>
                  </w:r>
                  <w:r>
                    <w:rPr>
                      <w:color w:val="000000"/>
                      <w:sz w:val="28"/>
                      <w:szCs w:val="28"/>
                    </w:rPr>
                    <w:t>осуществлялось движения от двух лет и более.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68.Финансовое управление администрации города-курорта Кисловодска не имеет доли участия в капитале каких-либо организаций, в связи с чем отсутствуют связанные стороны.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69. В течение отчетного периода со связанны</w:t>
                  </w:r>
                  <w:r>
                    <w:rPr>
                      <w:color w:val="000000"/>
                      <w:sz w:val="28"/>
                      <w:szCs w:val="28"/>
                    </w:rPr>
                    <w:t>ми сторонами не проводилось операций, отличающихся от обычных условий совершения операций с лицами, которые не являются связанной стороной Финансового управления администрации города-курорта Кисловодска.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70. Деятельности со связанными сторонами в отчетном периоде не было.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71. В соответствии с положениями федерального стандарта бухгалтерского учета государственных финансов «Затраты по заимствованиям», утвержденного приказом Минфина России от 15.11.2019 № 18</w:t>
                  </w:r>
                  <w:r>
                    <w:rPr>
                      <w:color w:val="000000"/>
                      <w:sz w:val="28"/>
                      <w:szCs w:val="28"/>
                    </w:rPr>
                    <w:t>2н, в отчетности за 2023 год в форме 0503172 «Сведения о государственном (муниципальном) долге, предоставленных бюджетных кредитах» отражена информация об обязательствах по заимствованиям, по состоянию  на 01.01.2024 муниципальный долг составил  361 884 79</w:t>
                  </w:r>
                  <w:r>
                    <w:rPr>
                      <w:color w:val="000000"/>
                      <w:sz w:val="28"/>
                      <w:szCs w:val="28"/>
                    </w:rPr>
                    <w:t>1,45 рубля, в том числе 718 791,45 рубль   начисленные проценты за декабрь 2023 года.        В отчетном периоде задолженность погашена в сумме 38 834 000,00 рублей (или на 7,65% уменьшилась от показателей прошлого года).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Сумма уплаченных процентов за польз</w:t>
                  </w:r>
                  <w:r>
                    <w:rPr>
                      <w:color w:val="000000"/>
                      <w:sz w:val="28"/>
                      <w:szCs w:val="28"/>
                    </w:rPr>
                    <w:t>ование денежными средствами в рамках привлеченных средств по кредитам составила 5 509 676,78 рублей,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возобновляемой кредитной линии согласно заключенным контрактам с коммерческими организациями   - 5 196 858,08 рублей;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соглашениям по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предоставлению бюджетных кредитов в сумме 312 818,70 рублей.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72. Ретроспективного применения измененной учетной политики не применялось, в связи с чем форма отчетности Сведения об изменении остатков валюты баланса (ф. 0503173) имеет нулевые значения по к</w:t>
                  </w:r>
                  <w:r>
                    <w:rPr>
                      <w:color w:val="000000"/>
                      <w:sz w:val="28"/>
                      <w:szCs w:val="28"/>
                    </w:rPr>
                    <w:t>оду 04 "Изменение учетной политики" (основания и характер изменений).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73. В форме 0503173 «Сведения об изменении остатков валюты баланса» по коду 05 «Пересчеты показателей отчетности»  уточнены показатели в соответствии с критерием отнесения задолженности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 долгосрочной (внеоборотные), определенными пунктами 27-30 федерального стандарта бухгалтерского учета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для организаций государственного сектора «Представление бухгалтерской (финансовой) отчетности»: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-в части показателя отражения прав пользования активами </w:t>
                  </w:r>
                  <w:r>
                    <w:rPr>
                      <w:color w:val="000000"/>
                      <w:sz w:val="28"/>
                      <w:szCs w:val="28"/>
                    </w:rPr>
                    <w:t>как долгосрочных по счету 1.111.6I «Права пользования программным обеспечением и базами данных» в сумме 1 153 889,50 рублей.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74. В форме 0503173 «Сведения об изменении остатков валюты баланса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по коду причины 06 «Иные причины, предусмотренные законодательст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вом Российской Федерации» </w:t>
                  </w:r>
                  <w:r>
                    <w:rPr>
                      <w:color w:val="000000"/>
                      <w:sz w:val="28"/>
                      <w:szCs w:val="28"/>
                    </w:rPr>
                    <w:t>в связи с внесением изменений в приказ Минфина России от 06.12.2010 №162н (в редакции от 29.03.2023) «Об утверждении Плана счетов бюджетного учета и Инструкции по его применению» отражены показатели в части расчетов по арендной пл</w:t>
                  </w:r>
                  <w:r>
                    <w:rPr>
                      <w:color w:val="000000"/>
                      <w:sz w:val="28"/>
                      <w:szCs w:val="28"/>
                    </w:rPr>
                    <w:t>ате за пользование имуществом по следующим счетам учета: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-по строке 410 в сумме (-6 463 800,00)  рублей  по счету 1.302.24.000   «Расчеты по арендной плате за пользование имуществом»;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 строке 520 в сумме 6 463 800 рублей 00 копеек по счету 1.401.60.22</w:t>
                  </w:r>
                  <w:r>
                    <w:rPr>
                      <w:color w:val="000000"/>
                      <w:sz w:val="28"/>
                      <w:szCs w:val="28"/>
                    </w:rPr>
                    <w:t>4 «Резервы предстоящих расходов по расчетам по арендной плате за пользование имуществом».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75. В Сведениях о принятых и неисполненных обязательствах получателя бюджетных средств (ф. 050175)  указаны коды неисполнения «99» - иные причины, в том числе: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По </w:t>
                  </w:r>
                  <w:r>
                    <w:rPr>
                      <w:color w:val="000000"/>
                      <w:sz w:val="28"/>
                      <w:szCs w:val="28"/>
                    </w:rPr>
                    <w:t>данным  Финансового управления: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«75» - иные причины по следующим номерам бюджетных счетов: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01067410010010244 1 50212000 – 17 302 рублей 68 копеек,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01137410011010244 1 50212000 - 1 012 рублей 11 копеек,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несвоевременность представления исполнителями работ (п</w:t>
                  </w:r>
                  <w:r>
                    <w:rPr>
                      <w:color w:val="000000"/>
                      <w:sz w:val="28"/>
                      <w:szCs w:val="28"/>
                    </w:rPr>
                    <w:t>оставщиками, подрядчиками) документов для расчетов.</w:t>
                  </w:r>
                </w:p>
                <w:p w:rsidR="00CE4C0B" w:rsidRDefault="00306013">
                  <w:pPr>
                    <w:ind w:right="-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 По данным МККУ Централизованная бухгалтерия в связи с несвоевременным предоставлением документов поставщиком услуг в сумме 2 894 рубля 84 копейки ПАО "Ростелеком", «75 - иные причины» в связи с несвоев</w:t>
                  </w:r>
                  <w:r>
                    <w:rPr>
                      <w:color w:val="000000"/>
                      <w:sz w:val="28"/>
                      <w:szCs w:val="28"/>
                    </w:rPr>
                    <w:t>ременным предоставлением документов поставщиком услуг в сумме 1 012 рубля 11 копейки ПАО "Ростелеком".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76.Финансовое управление администрации города-курорта Кисловодска не является администратором доходов бюджета от перечисления части прибыли (дивидендов) </w:t>
                  </w:r>
                  <w:r>
                    <w:rPr>
                      <w:color w:val="000000"/>
                      <w:sz w:val="28"/>
                      <w:szCs w:val="28"/>
                    </w:rPr>
                    <w:t>государственных (муниципальных) унитарных предприятий, иных организаций с государственным участием в капитале.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77. Некассовых операций в 2023 не осуществлялось.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78.Учетной политикой Финансового управления администрации города-курорта Кисловодска особенност</w:t>
                  </w:r>
                  <w:r>
                    <w:rPr>
                      <w:color w:val="000000"/>
                      <w:sz w:val="28"/>
                      <w:szCs w:val="28"/>
                    </w:rPr>
                    <w:t>и признания доходов не установлены.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79.Финансовое управление в 2023 году являлось главным администратором по группе доходов "Налоговые и неналоговые доходы" следующей подгруппе доходов: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-116 - Штрафы, санкции, возмещение ущерба.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Льготы и скидки в 2023 год</w:t>
                  </w:r>
                  <w:r>
                    <w:rPr>
                      <w:color w:val="000000"/>
                      <w:sz w:val="28"/>
                      <w:szCs w:val="28"/>
                    </w:rPr>
                    <w:t>у по данным подгруппам не представлялись.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Также являлось главным администратором по группе доходов "Безвозмездные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поступления" следующих подгрупп доходов: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202 - Безвозмездные поступления от других бюджетов Российской Федерации;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219 - Возврат остатков субсидий, субвенций и иных межбюджетных трансфертов, имеющих целевое назначение прошлых лет.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80. В 2023 Финансовое управление и  доходов от подарков, пожертвований и других безвозмездно полученных ценностей в бухгалтерском учете не о</w:t>
                  </w:r>
                  <w:r>
                    <w:rPr>
                      <w:color w:val="000000"/>
                      <w:sz w:val="28"/>
                      <w:szCs w:val="28"/>
                    </w:rPr>
                    <w:t>тражено в связи с отсутствием подарков, пожертвований и других безвозмездно полученных ценностей в адрес (Финансового управления администрации города-курорта Кисловодска).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81. В 2023 Финансовое управление и МККУ «Централизованная бухгалтерия» году услуг и работ безвозмездно не получали.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82. Необменных операций в 2023 году не было, в связи с чем отсутствуют суммы дебиторской задолженности, признанные по необменным операциям.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83. Изменение доходов будущих периодов осуществлено по межбюджетным трансфертам на начало года 835 575 519 рублей 00 копеек, на конец года 1 220 825 000 рублей 00 копеек.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84.У Финансового управления и МККУ «Централизованная бухгалтерия»отсутствуют обязате</w:t>
                  </w:r>
                  <w:r>
                    <w:rPr>
                      <w:color w:val="000000"/>
                      <w:sz w:val="28"/>
                      <w:szCs w:val="28"/>
                    </w:rPr>
                    <w:t>льства по авансовым поступлениям.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85. Доходов от приносящей доход Финансового управления и МККУ «Централизованная бухгалтерия» в 2023 году не было.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86. –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87.В составе резерва предстоящих расходов по выплатам персоналу у Финансового управления и МККУ «Центр</w:t>
                  </w:r>
                  <w:r>
                    <w:rPr>
                      <w:color w:val="000000"/>
                      <w:sz w:val="28"/>
                      <w:szCs w:val="28"/>
                    </w:rPr>
                    <w:t>ализованная бухгалтерия» отражены отложенные выплаты персоналу на предстоящую оплату:</w:t>
                  </w:r>
                </w:p>
                <w:p w:rsidR="00CE4C0B" w:rsidRDefault="0030601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денежных обязательств по оплате отпусков за фактически отработанное время (компенсации за неиспользованный отпуск, в том числе при увольнении) по коду счета 1 401 60 21</w:t>
                  </w:r>
                  <w:r>
                    <w:rPr>
                      <w:color w:val="000000"/>
                      <w:sz w:val="28"/>
                      <w:szCs w:val="28"/>
                    </w:rPr>
                    <w:t>1 «Резервы предстоящих расходов по оплате отпусков» на начало года в сумме 4 637 219 рублей 17 копеек, на конец отчетного периода – 4 873 438 рублей 90 копеек, изменение в сторону увеличения в сумме 236 219 рублей 73 копейки;</w:t>
                  </w:r>
                </w:p>
                <w:p w:rsidR="00CE4C0B" w:rsidRDefault="00306013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платежей на обязательное соц</w:t>
                  </w:r>
                  <w:r>
                    <w:rPr>
                      <w:color w:val="000000"/>
                      <w:sz w:val="28"/>
                      <w:szCs w:val="28"/>
                    </w:rPr>
                    <w:t>иальное страхование по коду счета 1 401 60 213 «Резервы предстоящих расходов на начисление на выплаты по оплате отпусков» на начало года – 1 400 440 рублей 19 копеек, на конец года в сумме 1 471 765 рублей 51 копейка, изменение в сторону увеличения в сумме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71 325 рублей 32 копейки;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88. Корректировка сумм резерва предстоящих расходов по выплатам персоналу не производилась в отчетном году.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89. Под снижение стоимости материальных запасов резервы не начислялись.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90. Под снижение стоимости материальных запасов р</w:t>
                  </w:r>
                  <w:r>
                    <w:rPr>
                      <w:color w:val="000000"/>
                      <w:sz w:val="28"/>
                      <w:szCs w:val="28"/>
                    </w:rPr>
                    <w:t>езерв не уменьшался.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91. Резервы по гарантийному ремонту, по претензиям, по реструктуризации, по убыточным договорам, на демонтаж и вывод основных средств из эксплуатации не начислялись.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92. Резервы по гарантийному ремонту, по претензиям, по реструктуризац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ии, по убыточным договорам, на демонтаж и вывод основных средств из эксплуатации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 начислялись.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93. В части резерва по гарантийному ремонту признаки неопределенности отсутствуют.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части резерва по претензиям, искам признаки неопределенности отсутствуют.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части резерва по реструктуризации признаки неопределенности отсутствуют.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части резерва по убыточным договорным обязательствам признаки неопределенности отсутствуют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части резерва на демонтаж и вывод основных средств из эксплуатации признаки неопределе</w:t>
                  </w:r>
                  <w:r>
                    <w:rPr>
                      <w:color w:val="000000"/>
                      <w:sz w:val="28"/>
                      <w:szCs w:val="28"/>
                    </w:rPr>
                    <w:t>нности отсутствуют.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94. Возмещения по встречным требованиям или требованиям к другим лицам при исполнении соответствующего обязательства, признанных самостоятельным активом не ожидаются.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95. В своей деятельности Финансового управления и МККУ «Централизован</w:t>
                  </w:r>
                  <w:r>
                    <w:rPr>
                      <w:color w:val="000000"/>
                      <w:sz w:val="28"/>
                      <w:szCs w:val="28"/>
                    </w:rPr>
                    <w:t>ная бухгалтерия» не имеют условных обязательств.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96. В связи с отсутствием в деятельности Финансового управления и МККУ «Централизованная бухгалтерия»  условных обязательств, информации по влиянию условных обязательств на финансовые показатели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97. В с</w:t>
                  </w:r>
                  <w:r>
                    <w:rPr>
                      <w:color w:val="000000"/>
                      <w:sz w:val="28"/>
                      <w:szCs w:val="28"/>
                    </w:rPr>
                    <w:t>воей деятельности Финансовое управление и МККУ «Централизованная бухгалтерия» не имеют условных активов.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98. В связи с отсутствием в деятельности Финансового управления и МККУ «Централизованная бухгалтерия» условных активов, информации по влиянию условных </w:t>
                  </w:r>
                  <w:r>
                    <w:rPr>
                      <w:color w:val="000000"/>
                      <w:sz w:val="28"/>
                      <w:szCs w:val="28"/>
                    </w:rPr>
                    <w:t>активов на финансовые показатели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99. В Сведениях о вложениях в объекты недвижимого имущества, объектах незавершенного строительств (ф. 0503190) информации требующей пояснения в текстовой части Пояснительной записки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100. В хозяйственной деятельности Финансового управления и МККУ «Централизованная бухгалтерия» отсутствуют объекты бухгалтерского учета, стоимость которых невозможно оценить с учетом требований Стандарта «Концептуальные основы бухгалтерского учета и отчетн</w:t>
                  </w:r>
                  <w:r>
                    <w:rPr>
                      <w:color w:val="000000"/>
                      <w:sz w:val="28"/>
                      <w:szCs w:val="28"/>
                    </w:rPr>
                    <w:t>ости организаций государственного сектора».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101. Иной информации, оказавшей существенное влияние и характеризующую показатели бухгалтерской отчетности Финансового управления и МККУ «Централизованная бухгалтерия» за отчетный период, не нашедшую отражения в </w:t>
                  </w:r>
                  <w:r>
                    <w:rPr>
                      <w:color w:val="000000"/>
                      <w:sz w:val="28"/>
                      <w:szCs w:val="28"/>
                    </w:rPr>
                    <w:t>таблицах и приложениях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102. В финансово-хозяйственной деятельности (Финансового управления и МККУ «Централизованная бухгалтерия» отсутствуют договора строительного подряда.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103. В связи с отсутствием долгосрочных договоров строительного подряда информ</w:t>
                  </w:r>
                  <w:r>
                    <w:rPr>
                      <w:color w:val="000000"/>
                      <w:sz w:val="28"/>
                      <w:szCs w:val="28"/>
                    </w:rPr>
                    <w:t>ации по подпункту «б» пункта 14 приказа МФ РФ № 145н «Долгосрочные договоры»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104. В связи с отсутствием долгосрочных договоров строительного подряда информации по подпункту «в» пункта 14 приказа МФ РФ № 145н «Долгосрочные договоры».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105. В связи с отс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утствием иных долгосрочных договоров информации по пункту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15 приказа МФ РФ № 145н «Долгосрочные договоры» нет.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106. На отчетную дату у Финансового управления и МККУ «Централизованная бухгалтерия» отсутствуют события после отчетной даты.</w:t>
                  </w:r>
                </w:p>
              </w:tc>
            </w:tr>
          </w:tbl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E4C0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</w:t>
            </w:r>
            <w:r>
              <w:rPr>
                <w:b/>
                <w:bCs/>
                <w:color w:val="000000"/>
                <w:sz w:val="28"/>
                <w:szCs w:val="28"/>
              </w:rPr>
              <w:t>е вопросы деятельности субъекта бюджетной отчетности"</w:t>
            </w:r>
          </w:p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CE4C0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107. ВСправке по заключению счетов бюджетного учета отчетного финансового года (ф. 0503110) отсутствуют показатели по счетам 1 401 10 189 «Иные доходы», 1 401 10 199 «Прочие неденежные безвозмездные поступления».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108. В соответствии с разделом 8 СГС «Конце</w:t>
                  </w:r>
                  <w:r>
                    <w:rPr>
                      <w:color w:val="000000"/>
                      <w:sz w:val="28"/>
                      <w:szCs w:val="28"/>
                    </w:rPr>
                    <w:t>птуальные основы бухгалтерского учета и отчетности организаций государственного сектора» для обеспечения достоверности данных бухгалтерского учета, а также перед составлением годовой бюджетной отчетности Финансовым управлением и МККУ «Централизованная бухг</w:t>
                  </w:r>
                  <w:r>
                    <w:rPr>
                      <w:color w:val="000000"/>
                      <w:sz w:val="28"/>
                      <w:szCs w:val="28"/>
                    </w:rPr>
                    <w:t>алтерия» проведены инвентаризации активов и обязательств, в том числе имущества, учитываемого на забалансовых счетах, в порядке, устанавливаемом актами субъекта учета в рамках формирования учетной политики.  По результатам проведенных инвентаризаций расхож</w:t>
                  </w:r>
                  <w:r>
                    <w:rPr>
                      <w:color w:val="000000"/>
                      <w:sz w:val="28"/>
                      <w:szCs w:val="28"/>
                    </w:rPr>
                    <w:t>дений с данными бухгалтерского учета не выявлено. 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109. В процессе инвентаризации проведенной перед формированием годовой бюджетной отчетностью за 2023 год не были выявлены объекты для обесценения.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110. В сведениях об исполнении судебных решений по денежны</w:t>
                  </w:r>
                  <w:r>
                    <w:rPr>
                      <w:color w:val="000000"/>
                      <w:sz w:val="28"/>
                      <w:szCs w:val="28"/>
                    </w:rPr>
                    <w:t>м обязательствам бюджета (ф.0503296) отсутствует задолженность по неисполненным документам на отчетную дату.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111. В процессе применения учетной политики отсутствуют выработанные профессиональные суждения, оказывающие существенное влияние на показатели бухгалтерской (финансовой) отчетности.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112. Дополнительная информация  отсутствует.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113. В деятельности Финансово</w:t>
                  </w:r>
                  <w:r>
                    <w:rPr>
                      <w:color w:val="000000"/>
                      <w:sz w:val="28"/>
                      <w:szCs w:val="28"/>
                    </w:rPr>
                    <w:t>го управления и МККУ «Централизованная бухгалтерия» отсутствуют риски существенных корректировок балансовой стоимости активов и обязательств в следующем отчетном году.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114.Учетная политика утверждена приказом №61-од от 30.12.2020г.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115. В единую учетную по</w:t>
                  </w:r>
                  <w:r>
                    <w:rPr>
                      <w:color w:val="000000"/>
                      <w:sz w:val="28"/>
                      <w:szCs w:val="28"/>
                    </w:rPr>
                    <w:t>литику, утвержденную приказом  ММКУ «Централизованная бухгалтерия» от 30.12.2021 № 61-од внесены следующие изменения в 2023 году: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Приказом от 10.03.2023 № 15-од дополнены следующие  разделы: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«Нормативные документы, разъяснения»;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-«Технология обработки</w:t>
                  </w:r>
                  <w:r>
                    <w:rPr>
                      <w:color w:val="000000"/>
                      <w:sz w:val="28"/>
                      <w:szCs w:val="28"/>
                    </w:rPr>
                    <w:t>, хранения учетной информации, бухгалтерской (финансовой) отчетности;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-«Рабочий план счетов»;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«События после отчетной даты»;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«Учет обязательств»;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2023 утверждены: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новый Рабочий план счетов на 2023 год;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-график документооборота в связи с Инструкцие</w:t>
                  </w:r>
                  <w:r>
                    <w:rPr>
                      <w:color w:val="000000"/>
                      <w:sz w:val="28"/>
                      <w:szCs w:val="28"/>
                    </w:rPr>
                    <w:t>й 61н;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-внесены изменения в раздел «Перечень первичных документов, закрепленных за однотипными фактами хозяйственной жизни»;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-порядок признания дебиторской задолженности безнадежной ко взысканию (нереальной ко взысканию) для целей списания дебиторской задо</w:t>
                  </w:r>
                  <w:r>
                    <w:rPr>
                      <w:color w:val="000000"/>
                      <w:sz w:val="28"/>
                      <w:szCs w:val="28"/>
                    </w:rPr>
                    <w:t>лженности в бухгалтерском учете;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-порядок списания невостребованной кредиторской задолженности;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-положение об электронном документообороте.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Дополнен раздел «Методологический раздел для целей бухгалтерского (бюджетного) учета» в части "Материальные запасы",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"Учет операций эквайринга".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2.Приказом от 17.07.2023 № 43-од дополнены раздел «Затраты на изготовление готовой продукции, выполнение работ, услуг», утверждены формы путевых листов с 01.09.2023 года.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3.Приказом от 25.08.2023 № 49-од утверждены: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порядок в</w:t>
                  </w:r>
                  <w:r>
                    <w:rPr>
                      <w:color w:val="000000"/>
                      <w:sz w:val="28"/>
                      <w:szCs w:val="28"/>
                    </w:rPr>
                    <w:t>заимодействия централизованной бухгалтерии при проведении субъектом централизованного учета инвентаризации активов, имущества, учитываемого на забалансовых счетах, обязательств и иных объектов бюджетного (бухгалтерского) учета в новой редакции;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-порядок ф</w:t>
                  </w:r>
                  <w:r>
                    <w:rPr>
                      <w:color w:val="000000"/>
                      <w:sz w:val="28"/>
                      <w:szCs w:val="28"/>
                    </w:rPr>
                    <w:t>ормирования и использования резервов предстоящих расходов.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4.Приказом от 28.08.2023 № 50-од утвержден порядок  «О переходе на новые электронные первичные документы» с 01.10.2023 г.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116. Изменений оценочных значений в 2023 году не производилось.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117. Данных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подпункту «б» пункта 26 приказа МФ РФ №274н «Учетная политика, оценочные значения и ошибки» нет в связи с отсутствием изменений оценочных значений в 2023 году.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118. Изменений в ранее представленную бухгалтерскую (финансовую) отчетность не вносилось.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>
                    <w:rPr>
                      <w:color w:val="000000"/>
                      <w:sz w:val="28"/>
                      <w:szCs w:val="28"/>
                    </w:rPr>
                    <w:t>9. В 2023 году Финансового управления администрации города-курорта Кисловодска не утверждались дополнительные корреспонденции счетов для отражения хозяйственных операций.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120. В составе бюджетной отчетности за 2023 год не представляются следующие формы, имеющие нулевые показатели: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0503128-НП «Отчет о бюджетных обязательствах (по национальным проектам)»;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0503166 «Сведения об исполнении мероприятий в рамках це</w:t>
                  </w:r>
                  <w:r>
                    <w:rPr>
                      <w:color w:val="000000"/>
                      <w:sz w:val="28"/>
                      <w:szCs w:val="28"/>
                    </w:rPr>
                    <w:t>левых программ;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форма 0503167 «Сведения о целевых иностранных кредитах»;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0503173 «Сведения об изменении остатков валюты баланса. Средства во временном распоряжении»;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0503174 «Сведения о доходах бюджета от перечисления части прибыли (дивид</w:t>
                  </w:r>
                  <w:r>
                    <w:rPr>
                      <w:color w:val="000000"/>
                      <w:sz w:val="28"/>
                      <w:szCs w:val="28"/>
                    </w:rPr>
                    <w:t>ендов) государственных (муниципальных) унитарных предприятий, иных организаций с государственным участием в капитале»;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0503178 «Сведения об остатках денежных средств на счетах получателя бюджетных средств. Бюджетная деятельность»;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форма 0503178 «</w:t>
                  </w:r>
                  <w:r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средств. Средства во временном распоряжении».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форма 0503190 «Сведения о вложениях в объекты недвижимого имущества, объектах незавершенного строительства»;</w:t>
                  </w:r>
                </w:p>
                <w:p w:rsidR="00CE4C0B" w:rsidRDefault="0030601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таблица № 6 к Пояснительной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записке «Сведения о проведении инвентаризаций».</w:t>
                  </w:r>
                </w:p>
              </w:tc>
            </w:tr>
          </w:tbl>
          <w:p w:rsidR="00CE4C0B" w:rsidRDefault="003060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CE4C0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</w:tbl>
    <w:p w:rsidR="00CE4C0B" w:rsidRDefault="00CE4C0B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CE4C0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E4C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ЗАМЕСТИТЕЛЬ ГЛАВЫ АДМИНИСТРАЦИИ - НАЧАЛЬНИК ФИНАНСОВОГО УПРАВЛЕНИЯ АДМИНИСТРАЦИИ ГОРОДА - КУРОРТА КИСЛОВОДСКА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E4C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Середкина Татьяна Станиславовна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30601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E4C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E4C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E4C0B" w:rsidRDefault="00306013">
                        <w:r>
                          <w:rPr>
                            <w:color w:val="000000"/>
                          </w:rPr>
                          <w:t>Сертификат: 00F57806BDA16BF734CA94647629A81A95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Владелец: Середкина Татьяна Станиславовна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Действителен с 11.03.2024 по 04.06.2025</w:t>
                        </w:r>
                      </w:p>
                    </w:tc>
                  </w:tr>
                </w:tbl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E4C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E4C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Титорова Светлана Юрьевна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30601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E4C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E4C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E4C0B" w:rsidRDefault="00306013">
                        <w:r>
                          <w:rPr>
                            <w:color w:val="000000"/>
                          </w:rPr>
                          <w:t>Сертификат: 00AA29710587F00E43E1EEE5E2796E6506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Владелец: Титорова Светлана Юрьевна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Действителен с 23.05.2023 по 15.08.2024</w:t>
                        </w:r>
                      </w:p>
                    </w:tc>
                  </w:tr>
                </w:tbl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E4C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E4C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Шевелева Надежда Викторовна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30601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E4C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E4C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E4C0B" w:rsidRDefault="00306013">
                        <w:r>
                          <w:rPr>
                            <w:color w:val="000000"/>
                          </w:rPr>
                          <w:t>Сертификат: 00F44DC3BCA803FDB9EBF1A8F7F625DC36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Владелец: Шевелева Надежда Викторовна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Действителен с 12.12.2023 по 06.03.2025</w:t>
                        </w:r>
                      </w:p>
                    </w:tc>
                  </w:tr>
                </w:tbl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E4C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E4C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Таран Инна Михайловна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30601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E4C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E4C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E4C0B" w:rsidRDefault="00306013">
                        <w:r>
                          <w:rPr>
                            <w:color w:val="000000"/>
                          </w:rPr>
                          <w:t>Сертификат: 40C2A84A508AF9E333FDA997B554F2ED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Владелец: Таран Инна Михайловна</w:t>
                        </w:r>
                      </w:p>
                      <w:p w:rsidR="00CE4C0B" w:rsidRDefault="00306013">
                        <w:r>
                          <w:rPr>
                            <w:color w:val="000000"/>
                          </w:rPr>
                          <w:t>Действителен с 12.12.2023 по 06.03.2025</w:t>
                        </w:r>
                      </w:p>
                    </w:tc>
                  </w:tr>
                </w:tbl>
                <w:p w:rsidR="00CE4C0B" w:rsidRDefault="00CE4C0B">
                  <w:pPr>
                    <w:spacing w:line="1" w:lineRule="auto"/>
                  </w:pPr>
                </w:p>
              </w:tc>
            </w:tr>
            <w:tr w:rsidR="00CE4C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CE4C0B">
                  <w:pPr>
                    <w:spacing w:line="1" w:lineRule="auto"/>
                  </w:pP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  <w:tr w:rsidR="00CE4C0B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CE4C0B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4C0B" w:rsidRDefault="00306013">
                  <w:r>
                    <w:rPr>
                      <w:color w:val="000000"/>
                      <w:sz w:val="28"/>
                      <w:szCs w:val="28"/>
                    </w:rPr>
                    <w:t>24 января 2024 г.</w:t>
                  </w:r>
                </w:p>
              </w:tc>
            </w:tr>
          </w:tbl>
          <w:p w:rsidR="00CE4C0B" w:rsidRDefault="00CE4C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</w:tbl>
    <w:p w:rsidR="00CE4C0B" w:rsidRDefault="00CE4C0B">
      <w:pPr>
        <w:sectPr w:rsidR="00CE4C0B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CE4C0B" w:rsidRDefault="00CE4C0B">
      <w:pPr>
        <w:rPr>
          <w:vanish/>
        </w:rPr>
      </w:pPr>
      <w:bookmarkStart w:id="4" w:name="__bookmark_11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CE4C0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CE4C0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CE4C0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форме 0503127 «От</w:t>
            </w:r>
            <w:r>
              <w:rPr>
                <w:i/>
                <w:iCs/>
                <w:color w:val="000000"/>
                <w:sz w:val="28"/>
                <w:szCs w:val="28"/>
              </w:rPr>
              <w:t>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на отчетную дату отк</w:t>
            </w:r>
            <w:r>
              <w:rPr>
                <w:i/>
                <w:iCs/>
                <w:color w:val="000000"/>
                <w:sz w:val="28"/>
                <w:szCs w:val="28"/>
              </w:rPr>
              <w:t>лонения суммы неисполненных назначений, отраженных в графе 9 по соответствующим строкам раздела "Доходы", формирующих итоговый показатель по доходам, от разницы показателей граф 4 и 8 по строке 010 "Доходы бюджета – всего" составил 10 рублей 86 копеек в св</w:t>
            </w:r>
            <w:r>
              <w:rPr>
                <w:i/>
                <w:iCs/>
                <w:color w:val="000000"/>
                <w:sz w:val="28"/>
                <w:szCs w:val="28"/>
              </w:rPr>
              <w:t>язи с отражением кассовых поступлений отличных от плановых назначений  внешним администратором доходов по коду доходов 1 16 01203 01 0021 140 «Административные штрафы, установленные главой 20 Кодекса Российской Федерации об административных правонарушениях</w:t>
            </w:r>
            <w:r>
              <w:rPr>
                <w:i/>
                <w:iCs/>
                <w:color w:val="000000"/>
                <w:sz w:val="28"/>
                <w:szCs w:val="28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прав».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</w:t>
            </w:r>
            <w:r>
              <w:rPr>
                <w:color w:val="000000"/>
                <w:sz w:val="28"/>
                <w:szCs w:val="28"/>
              </w:rPr>
              <w:t>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Сведениях об исполнении бюджета (ф. 0503164)  в графе 8 Раздела 2 «Расходы бюджета»  по коду причины  отклонения от планового процента исполнения 99 «Иные причины» отражена сумма (-5 109 335) рублей 24 копейки. Неисполнение пла</w:t>
            </w:r>
            <w:r>
              <w:rPr>
                <w:i/>
                <w:iCs/>
                <w:color w:val="000000"/>
                <w:sz w:val="28"/>
                <w:szCs w:val="28"/>
              </w:rPr>
              <w:t>новых показателей  по коду 99 «Иные причины» сложилось по следующим причинам: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(604 0106 7410010010) сумма (-139 588)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рублей 59 копеек – остаток расходов на обеспечение функций органов местного самоуправления.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(604 0113 7410010050) сумма (-169 078) рублей 6</w:t>
            </w:r>
            <w:r>
              <w:rPr>
                <w:i/>
                <w:iCs/>
                <w:color w:val="000000"/>
                <w:sz w:val="28"/>
                <w:szCs w:val="28"/>
              </w:rPr>
              <w:t>1 копейка – остаток денежных средств при выходе на пенсию муниципальных служащих (средства выделяются по мере необходимости).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(604 0113 7410020920) сумма (-2 299 235) рублей 02 копейки – остаток иных зарезервированных средств.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(604 1301 7410020470) сумма (</w:t>
            </w:r>
            <w:r>
              <w:rPr>
                <w:i/>
                <w:iCs/>
                <w:color w:val="000000"/>
                <w:sz w:val="28"/>
                <w:szCs w:val="28"/>
              </w:rPr>
              <w:t>-2 461 363) рубля 22 копейки – экономия денежных средств за счет привлечения бюджетных кредитов.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исполнения текстовых статей </w:t>
            </w:r>
            <w:r>
              <w:rPr>
                <w:color w:val="000000"/>
                <w:sz w:val="28"/>
                <w:szCs w:val="28"/>
              </w:rPr>
              <w:t>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обобщенным данным об операциях по управлению остатками</w:t>
            </w:r>
            <w:r>
              <w:rPr>
                <w:color w:val="000000"/>
                <w:sz w:val="28"/>
                <w:szCs w:val="28"/>
              </w:rPr>
              <w:t xml:space="preserve">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соответствии с пунктами 10, 12 и 13 статьи 236.1.  Бюджетного кодекса Российской Федерации, порядком привлечения остатков средств на единый счет бюджета города-курорта Кисловодска 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возврата привлеченных средств, утвержденного постановлением администрации города-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курорта Кисловодска от 30.12.2020 № 1228 «Об утверждении порядка привлечения остатков средств на единый счет бюджета города-курорта Кисловодска и возврата привлеченных средст</w:t>
            </w:r>
            <w:r>
              <w:rPr>
                <w:i/>
                <w:iCs/>
                <w:color w:val="000000"/>
                <w:sz w:val="28"/>
                <w:szCs w:val="28"/>
              </w:rPr>
              <w:t>в» на отчетную дату привлечены на единый счет бюджета  денежные средства в сумме 199 475 319,27 рублей, в том числе: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с казначейских счетов для осуществления и отражения операций с денежными средствами, поступающими во временное распоряжение получателей с</w:t>
            </w:r>
            <w:r>
              <w:rPr>
                <w:i/>
                <w:iCs/>
                <w:color w:val="000000"/>
                <w:sz w:val="28"/>
                <w:szCs w:val="28"/>
              </w:rPr>
              <w:t>редств бюджета в сумме 32 693 987,62 рублей;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с казначейских счетов для осуществления и отражения операций с денежными средствами бюджетных и автономных учреждений в сумме 21 357 618,06 рублей;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с казначейских счетов  для осуществления и отражения операц</w:t>
            </w:r>
            <w:r>
              <w:rPr>
                <w:i/>
                <w:iCs/>
                <w:color w:val="000000"/>
                <w:sz w:val="28"/>
                <w:szCs w:val="28"/>
              </w:rPr>
              <w:t>ий с денежными средствами участников казначейского сопровождения, открытых финансовому органу муниципального образования в сумме 145 423 713,59 рублей.</w:t>
            </w: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E4C0B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</w:tbl>
    <w:p w:rsidR="00CE4C0B" w:rsidRDefault="00CE4C0B">
      <w:pPr>
        <w:sectPr w:rsidR="00CE4C0B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CE4C0B" w:rsidRDefault="00CE4C0B">
      <w:pPr>
        <w:rPr>
          <w:vanish/>
        </w:rPr>
      </w:pPr>
      <w:bookmarkStart w:id="5" w:name="__bookmark_12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CE4C0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CE4C0B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CE4C0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</w:t>
            </w:r>
            <w:r>
              <w:rPr>
                <w:color w:val="000000"/>
                <w:sz w:val="28"/>
                <w:szCs w:val="28"/>
              </w:rPr>
              <w:t xml:space="preserve">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1. В соответствии с приказом Минфина России от 21.12.2022 № 192 внесены изменения в Инструкцию № 157н, которые действуют с 23.04.2023г. В части операционной аренды на оплату обязательств, по которым не поступили расчетные документы остатки, котор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ые числились на 1 января 2023 года, перенесены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со счета 302.24 на счет 401.60 в межотчетный период;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2.В Сведениях об изменении остатков валюты баланса (ф.0503173) в отчетном периоде по коду 06 "Иные причины", предусмотренные законодательством Российской Фе</w:t>
            </w:r>
            <w:r>
              <w:rPr>
                <w:i/>
                <w:iCs/>
                <w:color w:val="000000"/>
                <w:sz w:val="28"/>
                <w:szCs w:val="28"/>
              </w:rPr>
              <w:t>дерации, изменения осуществлены в сумме 0,00 рублей в связи с уточнением классификационного признака счета 1.302.75 «Расчеты по приобретению иных финансовых активов с участниками бюджетного процесса».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i/>
                <w:iCs/>
                <w:color w:val="000000"/>
                <w:sz w:val="28"/>
                <w:szCs w:val="28"/>
              </w:rPr>
              <w:t>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Оплата в январе 2024г. Остаток БО по контрактам/договорам- расторжение после погашения кредиторской задолженности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Документы за декабрь поступили в начале января 2024 г. Оплата кредиторской задолженности ( остаток неоплаченных ДО) в январе 2024г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отсутствуют</w:t>
            </w: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  <w:jc w:val="center"/>
            </w:pPr>
          </w:p>
        </w:tc>
      </w:tr>
      <w:tr w:rsidR="00CE4C0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3060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E4C0B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0B" w:rsidRDefault="00CE4C0B">
            <w:pPr>
              <w:spacing w:line="1" w:lineRule="auto"/>
            </w:pPr>
          </w:p>
        </w:tc>
      </w:tr>
    </w:tbl>
    <w:p w:rsidR="00000000" w:rsidRDefault="00306013"/>
    <w:sectPr w:rsidR="00000000" w:rsidSect="00CE4C0B">
      <w:headerReference w:type="default" r:id="rId11"/>
      <w:footerReference w:type="default" r:id="rId12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0B" w:rsidRDefault="00CE4C0B" w:rsidP="00CE4C0B">
      <w:r>
        <w:separator/>
      </w:r>
    </w:p>
  </w:endnote>
  <w:endnote w:type="continuationSeparator" w:id="0">
    <w:p w:rsidR="00CE4C0B" w:rsidRDefault="00CE4C0B" w:rsidP="00CE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0B" w:rsidRDefault="00CE4C0B" w:rsidP="00CE4C0B">
      <w:r>
        <w:separator/>
      </w:r>
    </w:p>
  </w:footnote>
  <w:footnote w:type="continuationSeparator" w:id="0">
    <w:p w:rsidR="00CE4C0B" w:rsidRDefault="00CE4C0B" w:rsidP="00CE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C0B">
      <w:trPr>
        <w:trHeight w:val="56"/>
      </w:trPr>
      <w:tc>
        <w:tcPr>
          <w:tcW w:w="10421" w:type="dxa"/>
        </w:tcPr>
        <w:p w:rsidR="00CE4C0B" w:rsidRDefault="00CE4C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0B"/>
    <w:rsid w:val="00306013"/>
    <w:rsid w:val="00C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E4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E4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6861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Glazova V.I.</dc:creator>
  <cp:lastModifiedBy>Glazova V.I.</cp:lastModifiedBy>
  <cp:revision>2</cp:revision>
  <dcterms:created xsi:type="dcterms:W3CDTF">2024-04-17T11:57:00Z</dcterms:created>
  <dcterms:modified xsi:type="dcterms:W3CDTF">2024-04-17T11:57:00Z</dcterms:modified>
</cp:coreProperties>
</file>