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5F2795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83503B" w:rsidRPr="0083503B">
        <w:rPr>
          <w:sz w:val="28"/>
          <w:u w:val="single"/>
        </w:rPr>
        <w:t xml:space="preserve"> 05.09.2023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83503B">
        <w:rPr>
          <w:sz w:val="28"/>
          <w:u w:val="single"/>
        </w:rPr>
        <w:t>1724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BE17A9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83503B">
        <w:rPr>
          <w:rFonts w:ascii="Times New Roman" w:hAnsi="Times New Roman" w:cs="Times New Roman"/>
          <w:sz w:val="28"/>
          <w:szCs w:val="28"/>
        </w:rPr>
        <w:t>Саблиной Ирины Александровны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83503B">
        <w:rPr>
          <w:rFonts w:ascii="Times New Roman" w:hAnsi="Times New Roman" w:cs="Times New Roman"/>
          <w:sz w:val="28"/>
          <w:szCs w:val="28"/>
        </w:rPr>
        <w:t>ул. Линейная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3503B">
        <w:rPr>
          <w:rFonts w:ascii="Times New Roman" w:hAnsi="Times New Roman" w:cs="Times New Roman"/>
          <w:sz w:val="28"/>
          <w:szCs w:val="28"/>
        </w:rPr>
        <w:t>33/27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83503B">
        <w:rPr>
          <w:rFonts w:ascii="Times New Roman" w:hAnsi="Times New Roman" w:cs="Times New Roman"/>
          <w:sz w:val="28"/>
          <w:szCs w:val="28"/>
        </w:rPr>
        <w:t>33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83503B">
        <w:rPr>
          <w:rFonts w:ascii="Times New Roman" w:hAnsi="Times New Roman" w:cs="Times New Roman"/>
          <w:sz w:val="28"/>
          <w:szCs w:val="28"/>
        </w:rPr>
        <w:t>050205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83503B">
        <w:rPr>
          <w:rFonts w:ascii="Times New Roman" w:hAnsi="Times New Roman" w:cs="Times New Roman"/>
          <w:sz w:val="28"/>
          <w:szCs w:val="28"/>
        </w:rPr>
        <w:t>213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3503B">
        <w:rPr>
          <w:rFonts w:ascii="Times New Roman" w:hAnsi="Times New Roman" w:cs="Times New Roman"/>
          <w:sz w:val="28"/>
          <w:szCs w:val="28"/>
        </w:rPr>
        <w:t>54,3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3503B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2024-04-24T07:39:00Z</dcterms:modified>
</cp:coreProperties>
</file>